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부 동 산 인 도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부동산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인도 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     시      분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열쇠·출입 수단 인계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수량·내용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현관 열쇠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 xml:space="preserve">     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공동현관 카드키·리모컨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 xml:space="preserve">     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현관 도어락 비밀번호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우편함·기타 열쇠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</w:tr>
    </w:tbl>
    <w:p/>
    <w:p>
      <w:pPr>
        <w:spacing w:before="160"/>
      </w:pPr>
      <w:r>
        <w:rPr>
          <w:b/>
        </w:rPr>
        <w:t>2. 계량기 검침값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검침값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전기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수도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가스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난방(온수)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시설 상태와 남은 물건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시설 상태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남은 물건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없음   □ 있음(내용:     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남은 물건 처리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점유자가 소유권 포기·처분 동의   □ 점유자가    월    일까지 가져감</w:t>
            </w:r>
          </w:p>
        </w:tc>
      </w:tr>
    </w:tbl>
    <w:p/>
    <w:p>
      <w:pPr>
        <w:jc w:val="left"/>
      </w:pPr>
      <w:r>
        <w:t>위와 같이 부동산을 인도하고 인수하였음을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인도인(점유자)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인수인(매수인)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 인도 확인서(열쇠·점유 인계 확인서)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