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명 도 협 의 서</w:t>
      </w:r>
    </w:p>
    <w:p>
      <w:pPr>
        <w:jc w:val="left"/>
      </w:pPr>
      <w:r>
        <w:t>매수인(이하 "갑")과 점유자(이하 "을")는 아래 부동산의 인도에 관하여 다음과 같이 합의한다.</w:t>
      </w:r>
    </w:p>
    <w:p>
      <w:pPr>
        <w:spacing w:before="160"/>
      </w:pPr>
      <w:r>
        <w:rPr>
          <w:b/>
        </w:rPr>
        <w:t>1. 부동산의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경매 사건번호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 xml:space="preserve">        지방법원  20    타경          호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점유 부분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점유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채무자(소유자) □ 임차인 □ 기타</w:t>
            </w:r>
          </w:p>
        </w:tc>
      </w:tr>
    </w:tbl>
    <w:p/>
    <w:p>
      <w:pPr>
        <w:spacing w:before="160"/>
      </w:pPr>
      <w:r>
        <w:rPr>
          <w:b/>
        </w:rPr>
        <w:t>제1조 (인도 일자)</w:t>
      </w:r>
    </w:p>
    <w:p>
      <w:pPr>
        <w:jc w:val="left"/>
      </w:pPr>
      <w:r>
        <w:t>을은 20    년    월    일까지 위 부동산에서 을과 동거인의 모든 짐을 빼고, 열쇠·출입카드·현관 비밀번호 등 일체를 갑에게 넘긴다.</w:t>
      </w:r>
    </w:p>
    <w:p>
      <w:pPr>
        <w:spacing w:before="160"/>
      </w:pPr>
      <w:r>
        <w:rPr>
          <w:b/>
        </w:rPr>
        <w:t>제2조 (이사비)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이사비 총액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시기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을의 인도를 갑이 확인하는 즉시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계좌이체 (은행:          계좌:                    예금주:        ) □ 현금</w:t>
            </w:r>
          </w:p>
        </w:tc>
      </w:tr>
    </w:tbl>
    <w:p/>
    <w:p>
      <w:pPr>
        <w:spacing w:before="160"/>
      </w:pPr>
      <w:r>
        <w:rPr>
          <w:b/>
        </w:rPr>
        <w:t>제3조 (관리비·공과금 정산)</w:t>
      </w:r>
    </w:p>
    <w:p>
      <w:pPr>
        <w:jc w:val="left"/>
      </w:pPr>
      <w:r>
        <w:t>인도일까지 발생한 관리비, 전기·수도·가스 요금 등은 을이 부담하며, 을이 정산하지 않은 금액은 갑이 이사비에서 공제할 수 있다.</w:t>
      </w:r>
    </w:p>
    <w:p>
      <w:pPr>
        <w:spacing w:before="160"/>
      </w:pPr>
      <w:r>
        <w:rPr>
          <w:b/>
        </w:rPr>
        <w:t>제4조 (인도 상태)</w:t>
      </w:r>
    </w:p>
    <w:p>
      <w:pPr>
        <w:jc w:val="left"/>
      </w:pPr>
      <w:r>
        <w:t>을은 부동산의 시설물(문, 창호, 조명, 배관, 붙박이 가구 등)을 고의로 훼손하거나 떼어 가지 않으며, 훼손한 경우 그 손해를 배상한다.</w:t>
      </w:r>
    </w:p>
    <w:p>
      <w:pPr>
        <w:spacing w:before="160"/>
      </w:pPr>
      <w:r>
        <w:rPr>
          <w:b/>
        </w:rPr>
        <w:t>제5조 (남은 물건)</w:t>
      </w:r>
    </w:p>
    <w:p>
      <w:pPr>
        <w:jc w:val="left"/>
      </w:pPr>
      <w:r>
        <w:t>인도 후 부동산에 남은 물건은 을이 소유권을 포기한 것으로 보며, 갑이 이를 처분하여도 을은 이의를 제기하지 않는다.</w:t>
      </w:r>
    </w:p>
    <w:p>
      <w:pPr>
        <w:spacing w:before="160"/>
      </w:pPr>
      <w:r>
        <w:rPr>
          <w:b/>
        </w:rPr>
        <w:t>제6조 (불이행)</w:t>
      </w:r>
    </w:p>
    <w:p>
      <w:pPr>
        <w:jc w:val="left"/>
      </w:pPr>
      <w:r>
        <w:t>을이 제1조의 날짜까지 인도하지 않으면 이 합의는 효력을 잃으며, 갑은 이사비를 지급하지 않고 인도명령·강제집행 등 법적 절차를 진행할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합의를 증명하기 위하여 합의서 2부를 작성하여 서명·날인 후 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갑(매수인)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을(점유자)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명도 협의서(이사비 지급·인도 합의서)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