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이 혼 협 의 서</w:t>
      </w:r>
    </w:p>
    <w:p>
      <w:pPr>
        <w:jc w:val="left"/>
      </w:pPr>
      <w:r>
        <w:t>남편(이하 "갑")과 아내(이하 "을")는 협의이혼을 하면서 아래와 같이 합의한다.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혼인신고일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미성년 자녀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있음 □ (    명) / 없음 □</w:t>
            </w:r>
          </w:p>
        </w:tc>
      </w:tr>
    </w:tbl>
    <w:p/>
    <w:p>
      <w:pPr>
        <w:spacing w:before="160"/>
      </w:pPr>
      <w:r>
        <w:rPr>
          <w:b/>
        </w:rPr>
        <w:t>1. 재산분할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재산·채무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현재 명의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가액(원)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분할 후 소유자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이전 기한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(       )은(는) (       )에게 재산분할금 금            원을 20    .    .    .까지 지급한다.</w:t>
      </w:r>
    </w:p>
    <w:p>
      <w:pPr>
        <w:spacing w:before="160"/>
      </w:pPr>
      <w:r>
        <w:rPr>
          <w:b/>
        </w:rPr>
        <w:t>2. 위자료</w:t>
      </w:r>
    </w:p>
    <w:p>
      <w:pPr>
        <w:jc w:val="left"/>
      </w:pPr>
      <w:r>
        <w:t>위자료: 없음 □ / 있음 □ ((       )이 (       )에게 금            원을 20    .    .    .까지 지급)</w:t>
      </w:r>
    </w:p>
    <w:p>
      <w:pPr>
        <w:spacing w:before="160"/>
      </w:pPr>
      <w:r>
        <w:rPr>
          <w:b/>
        </w:rPr>
        <w:t>3. 자녀의 친권자와 양육자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자녀 이름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친권자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양육자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양육비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지급하는 사람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1인당 월 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금            원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    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부터 자녀 성년 전달까지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계좌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면접교섭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횟수·시간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장소·인도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방학·명절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6. 기타 합의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갑과 을은 이 합의서에 적은 것 외에 재산분할과 위자료를 서로 더 청구하지 않는다.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갑(남편)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을(아내)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이혼 협의서(재산분할·양육 합의)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